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06" w:rsidRDefault="00473485">
      <w:pPr>
        <w:jc w:val="center"/>
        <w:rPr>
          <w:rFonts w:ascii="Candara" w:eastAsia="Candara" w:hAnsi="Candara" w:cs="Candara"/>
        </w:rPr>
      </w:pPr>
      <w:bookmarkStart w:id="0" w:name="_GoBack"/>
      <w:bookmarkEnd w:id="0"/>
      <w:r>
        <w:rPr>
          <w:rFonts w:ascii="Candara" w:eastAsia="Candara" w:hAnsi="Candara" w:cs="Candara"/>
          <w:b/>
        </w:rPr>
        <w:t>AUGUSTANA COURSE CAPACITY POLICIES (updated 1/9/24)</w:t>
      </w:r>
    </w:p>
    <w:p w:rsidR="00545706" w:rsidRDefault="00545706">
      <w:pPr>
        <w:jc w:val="center"/>
        <w:rPr>
          <w:rFonts w:ascii="Candara" w:eastAsia="Candara" w:hAnsi="Candara" w:cs="Candara"/>
        </w:rPr>
      </w:pPr>
    </w:p>
    <w:p w:rsidR="00545706" w:rsidRDefault="00473485">
      <w:pPr>
        <w:spacing w:after="20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Course cap policies are designed to balance three competing priorities: pedagogical, financial, and workload equity. Our underlying principles are (1) caps should allow for effective instruction, (2) caps should reflect financially sustainable policies and</w:t>
      </w:r>
      <w:r>
        <w:rPr>
          <w:rFonts w:ascii="Candara" w:eastAsia="Candara" w:hAnsi="Candara" w:cs="Candara"/>
        </w:rPr>
        <w:t xml:space="preserve"> (3) caps should not unfairly burden some faculty for the benefit of others. </w:t>
      </w:r>
    </w:p>
    <w:p w:rsidR="00545706" w:rsidRDefault="0047348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This policy will cover four topics: (1) normal maximum course sizes, (2) normal minimum course enrollments, (3) procedures for requesting a variance in the policies, and (4) proc</w:t>
      </w:r>
      <w:r>
        <w:rPr>
          <w:rFonts w:ascii="Candara" w:eastAsia="Candara" w:hAnsi="Candara" w:cs="Candara"/>
        </w:rPr>
        <w:t>edures for dealing with an under-enrolled course.</w:t>
      </w:r>
    </w:p>
    <w:p w:rsidR="00545706" w:rsidRDefault="00545706">
      <w:pPr>
        <w:rPr>
          <w:rFonts w:ascii="Candara" w:eastAsia="Candara" w:hAnsi="Candara" w:cs="Candara"/>
        </w:rPr>
      </w:pPr>
    </w:p>
    <w:p w:rsidR="00545706" w:rsidRDefault="00473485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1. Normal maximum course sizes</w:t>
      </w:r>
    </w:p>
    <w:p w:rsidR="00545706" w:rsidRDefault="0047348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All two-credit and four-credit courses without specific exceptions should be offered with an enrollment capacity at or above the caps listed below.</w:t>
      </w:r>
      <w:r>
        <w:rPr>
          <w:rFonts w:ascii="Candara" w:eastAsia="Candara" w:hAnsi="Candara" w:cs="Candara"/>
          <w:vertAlign w:val="superscript"/>
        </w:rPr>
        <w:footnoteReference w:id="1"/>
      </w:r>
      <w:r>
        <w:rPr>
          <w:rFonts w:ascii="Candara" w:eastAsia="Candara" w:hAnsi="Candara" w:cs="Candara"/>
        </w:rPr>
        <w:t xml:space="preserve">  </w:t>
      </w:r>
    </w:p>
    <w:p w:rsidR="00545706" w:rsidRDefault="00545706">
      <w:pPr>
        <w:rPr>
          <w:rFonts w:ascii="Candara" w:eastAsia="Candara" w:hAnsi="Candara" w:cs="Candara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545706">
        <w:trPr>
          <w:trHeight w:val="420"/>
        </w:trPr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Course Caps</w:t>
            </w:r>
          </w:p>
        </w:tc>
        <w:tc>
          <w:tcPr>
            <w:tcW w:w="6240" w:type="dxa"/>
            <w:gridSpan w:val="2"/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Semester o</w:t>
            </w:r>
            <w:r>
              <w:rPr>
                <w:rFonts w:ascii="Candara" w:eastAsia="Candara" w:hAnsi="Candara" w:cs="Candara"/>
                <w:b/>
              </w:rPr>
              <w:t>r Term</w:t>
            </w:r>
          </w:p>
        </w:tc>
      </w:tr>
      <w:tr w:rsidR="0054570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Course Level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Spring/Fall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J-term</w:t>
            </w:r>
          </w:p>
        </w:tc>
      </w:tr>
      <w:tr w:rsidR="0054570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Lower Division</w:t>
            </w:r>
          </w:p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(100/200 level)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30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20</w:t>
            </w:r>
          </w:p>
        </w:tc>
      </w:tr>
      <w:tr w:rsidR="00545706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Upper Division</w:t>
            </w:r>
          </w:p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(300/400 level)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25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20</w:t>
            </w:r>
          </w:p>
        </w:tc>
      </w:tr>
    </w:tbl>
    <w:p w:rsidR="00545706" w:rsidRDefault="00473485">
      <w:pPr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Creative production courses (writing, art, production, etc.) courses will be capped at 20.</w:t>
      </w:r>
    </w:p>
    <w:p w:rsidR="00545706" w:rsidRDefault="0047348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Courses with multiple sections should have </w:t>
      </w:r>
      <w:r>
        <w:rPr>
          <w:rFonts w:ascii="Candara" w:eastAsia="Candara" w:hAnsi="Candara" w:cs="Candara"/>
          <w:b/>
        </w:rPr>
        <w:t>the same enrollment capacities across sections</w:t>
      </w:r>
      <w:r>
        <w:rPr>
          <w:rFonts w:ascii="Candara" w:eastAsia="Candara" w:hAnsi="Candara" w:cs="Candara"/>
        </w:rPr>
        <w:t xml:space="preserve"> to ensure a consistent student experience and fair faculty workload.</w:t>
      </w:r>
    </w:p>
    <w:p w:rsidR="00545706" w:rsidRDefault="00545706">
      <w:pPr>
        <w:rPr>
          <w:rFonts w:ascii="Candara" w:eastAsia="Candara" w:hAnsi="Candara" w:cs="Candara"/>
        </w:rPr>
      </w:pPr>
    </w:p>
    <w:p w:rsidR="00545706" w:rsidRDefault="00473485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2. Normal minimum course enrollments</w:t>
      </w:r>
    </w:p>
    <w:p w:rsidR="00545706" w:rsidRDefault="0047348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If a course does not meet the minimum of enrolled students by the deadlines listed below, the course o</w:t>
      </w:r>
      <w:r>
        <w:rPr>
          <w:rFonts w:ascii="Candara" w:eastAsia="Candara" w:hAnsi="Candara" w:cs="Candara"/>
        </w:rPr>
        <w:t>r section will be canceled.  The minimum enrollment number for multi-section courses may be higher if students from a canceled course could be absorbed into another section or sections.</w:t>
      </w:r>
    </w:p>
    <w:p w:rsidR="00545706" w:rsidRDefault="00545706">
      <w:pPr>
        <w:rPr>
          <w:rFonts w:ascii="Candara" w:eastAsia="Candara" w:hAnsi="Candara" w:cs="Candara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545706"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Course Level</w:t>
            </w:r>
          </w:p>
        </w:tc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Minimum Course Enrollments</w:t>
            </w:r>
          </w:p>
        </w:tc>
      </w:tr>
      <w:tr w:rsidR="00545706"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Lower Division (100/200 level)</w:t>
            </w:r>
          </w:p>
        </w:tc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15</w:t>
            </w:r>
          </w:p>
        </w:tc>
      </w:tr>
      <w:tr w:rsidR="00545706"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Upper Division (300/400 level)</w:t>
            </w:r>
          </w:p>
        </w:tc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10</w:t>
            </w:r>
          </w:p>
        </w:tc>
      </w:tr>
      <w:tr w:rsidR="00545706"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Senior Inquiry</w:t>
            </w:r>
          </w:p>
        </w:tc>
        <w:tc>
          <w:tcPr>
            <w:tcW w:w="4680" w:type="dxa"/>
          </w:tcPr>
          <w:p w:rsidR="00545706" w:rsidRDefault="00473485">
            <w:pPr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6</w:t>
            </w:r>
          </w:p>
        </w:tc>
      </w:tr>
    </w:tbl>
    <w:p w:rsidR="00545706" w:rsidRDefault="00545706">
      <w:pPr>
        <w:rPr>
          <w:rFonts w:ascii="Candara" w:eastAsia="Candara" w:hAnsi="Candara" w:cs="Candara"/>
          <w:i/>
        </w:rPr>
      </w:pPr>
    </w:p>
    <w:p w:rsidR="00545706" w:rsidRDefault="00473485">
      <w:pPr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3. Procedures for requesting a variance in the policies</w:t>
      </w:r>
    </w:p>
    <w:p w:rsidR="00545706" w:rsidRDefault="00473485">
      <w:pPr>
        <w:spacing w:after="20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Department chairs are not authorized to unilaterally set lower maximum course sizes. Variances are the responsibility of the office of Academic Affairs (or through divisional deans). Once a variance has been formally agreed upon, it will remain in effect f</w:t>
      </w:r>
      <w:r>
        <w:rPr>
          <w:rFonts w:ascii="Candara" w:eastAsia="Candara" w:hAnsi="Candara" w:cs="Candara"/>
        </w:rPr>
        <w:t>or succeeding years without the need for further justification. Courses with lower caps and without variances will be reset to the normal minimum size in the master schedule.</w:t>
      </w:r>
    </w:p>
    <w:p w:rsidR="00545706" w:rsidRDefault="00473485">
      <w:pPr>
        <w:spacing w:after="20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Exceptions are entirely justified in a variety of circumstances: senior inquiry c</w:t>
      </w:r>
      <w:r>
        <w:rPr>
          <w:rFonts w:ascii="Candara" w:eastAsia="Candara" w:hAnsi="Candara" w:cs="Candara"/>
        </w:rPr>
        <w:t>ourses that are project based, courses limited by the size of the teaching spaces available, number of software licenses, amount of available equipment, and so on.</w:t>
      </w:r>
    </w:p>
    <w:p w:rsidR="00545706" w:rsidRDefault="00473485">
      <w:pPr>
        <w:spacing w:after="20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 xml:space="preserve"> In those or other cases, chairs should request an exception to these guidelines using the “</w:t>
      </w:r>
      <w:r>
        <w:rPr>
          <w:rFonts w:ascii="Candara" w:eastAsia="Candara" w:hAnsi="Candara" w:cs="Candara"/>
        </w:rPr>
        <w:t>Minimum Course Cap Exception Request” form.  Those requests will be reviewed and responded to by the Division Deans.  Academic Affairs will maintain a list of approved exceptions to inform future course scheduling cycles.</w:t>
      </w:r>
    </w:p>
    <w:p w:rsidR="00545706" w:rsidRDefault="00473485">
      <w:pPr>
        <w:jc w:val="center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Deadlines to meet minimum enrollme</w:t>
      </w:r>
      <w:r>
        <w:rPr>
          <w:rFonts w:ascii="Candara" w:eastAsia="Candara" w:hAnsi="Candara" w:cs="Candara"/>
          <w:b/>
        </w:rPr>
        <w:t>nt requirements</w:t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4140"/>
        <w:gridCol w:w="3330"/>
      </w:tblGrid>
      <w:tr w:rsidR="00545706">
        <w:trPr>
          <w:trHeight w:val="4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Course Level</w:t>
            </w: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Fall Semester and J-Term Courses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  <w:b/>
              </w:rPr>
              <w:t>Spring Semester Courses</w:t>
            </w:r>
          </w:p>
        </w:tc>
      </w:tr>
      <w:tr w:rsidR="00545706">
        <w:trPr>
          <w:trHeight w:val="4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Lower Division (100/200 level)</w:t>
            </w:r>
          </w:p>
          <w:p w:rsidR="00545706" w:rsidRDefault="00545706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Academic Affairs monitors course enrollments based on FY enrollment numbers and will contact chairs in Spring or Summer if course changes are needed.</w:t>
            </w: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  <w:b/>
              </w:rPr>
            </w:pPr>
            <w:r>
              <w:rPr>
                <w:rFonts w:ascii="Candara" w:eastAsia="Candara" w:hAnsi="Candara" w:cs="Candara"/>
              </w:rPr>
              <w:t xml:space="preserve">End of the final Fall assigned registration window for </w:t>
            </w:r>
            <w:r>
              <w:rPr>
                <w:rFonts w:ascii="Candara" w:eastAsia="Candara" w:hAnsi="Candara" w:cs="Candara"/>
                <w:b/>
              </w:rPr>
              <w:t>FY</w:t>
            </w:r>
            <w:r>
              <w:rPr>
                <w:rFonts w:ascii="Candara" w:eastAsia="Candara" w:hAnsi="Candara" w:cs="Candara"/>
              </w:rPr>
              <w:t xml:space="preserve"> </w:t>
            </w:r>
            <w:r>
              <w:rPr>
                <w:rFonts w:ascii="Candara" w:eastAsia="Candara" w:hAnsi="Candara" w:cs="Candara"/>
                <w:b/>
              </w:rPr>
              <w:t>students</w:t>
            </w:r>
          </w:p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(</w:t>
            </w:r>
            <w:proofErr w:type="gramStart"/>
            <w:r>
              <w:rPr>
                <w:rFonts w:ascii="Candara" w:eastAsia="Candara" w:hAnsi="Candara" w:cs="Candara"/>
              </w:rPr>
              <w:t>prior</w:t>
            </w:r>
            <w:proofErr w:type="gramEnd"/>
            <w:r>
              <w:rPr>
                <w:rFonts w:ascii="Candara" w:eastAsia="Candara" w:hAnsi="Candara" w:cs="Candara"/>
              </w:rPr>
              <w:t xml:space="preserve"> to open registration).</w:t>
            </w:r>
          </w:p>
        </w:tc>
      </w:tr>
      <w:tr w:rsidR="00545706">
        <w:trPr>
          <w:trHeight w:val="420"/>
        </w:trPr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>Upper Di</w:t>
            </w:r>
            <w:r>
              <w:rPr>
                <w:rFonts w:ascii="Candara" w:eastAsia="Candara" w:hAnsi="Candara" w:cs="Candara"/>
              </w:rPr>
              <w:t>vision (300/400)</w:t>
            </w:r>
          </w:p>
          <w:p w:rsidR="00545706" w:rsidRDefault="00545706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4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End of the final Spring assigned registration window for </w:t>
            </w:r>
            <w:r>
              <w:rPr>
                <w:rFonts w:ascii="Candara" w:eastAsia="Candara" w:hAnsi="Candara" w:cs="Candara"/>
                <w:b/>
              </w:rPr>
              <w:t>Juniors</w:t>
            </w:r>
            <w:r>
              <w:rPr>
                <w:rFonts w:ascii="Candara" w:eastAsia="Candara" w:hAnsi="Candara" w:cs="Candara"/>
              </w:rPr>
              <w:t xml:space="preserve"> (prior to open registration).</w:t>
            </w:r>
          </w:p>
          <w:p w:rsidR="00545706" w:rsidRDefault="00545706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</w:p>
        </w:tc>
        <w:tc>
          <w:tcPr>
            <w:tcW w:w="3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45706" w:rsidRDefault="00473485">
            <w:pPr>
              <w:widowControl w:val="0"/>
              <w:spacing w:line="240" w:lineRule="auto"/>
              <w:jc w:val="center"/>
              <w:rPr>
                <w:rFonts w:ascii="Candara" w:eastAsia="Candara" w:hAnsi="Candara" w:cs="Candara"/>
              </w:rPr>
            </w:pPr>
            <w:r>
              <w:rPr>
                <w:rFonts w:ascii="Candara" w:eastAsia="Candara" w:hAnsi="Candara" w:cs="Candara"/>
              </w:rPr>
              <w:t xml:space="preserve">End of the final Fall assigned registration window for </w:t>
            </w:r>
            <w:r>
              <w:rPr>
                <w:rFonts w:ascii="Candara" w:eastAsia="Candara" w:hAnsi="Candara" w:cs="Candara"/>
                <w:b/>
              </w:rPr>
              <w:t>Juniors</w:t>
            </w:r>
            <w:r>
              <w:rPr>
                <w:rFonts w:ascii="Candara" w:eastAsia="Candara" w:hAnsi="Candara" w:cs="Candara"/>
              </w:rPr>
              <w:t xml:space="preserve"> (prior to open registration).</w:t>
            </w:r>
          </w:p>
        </w:tc>
      </w:tr>
    </w:tbl>
    <w:p w:rsidR="00545706" w:rsidRDefault="00545706">
      <w:pPr>
        <w:rPr>
          <w:rFonts w:ascii="Candara" w:eastAsia="Candara" w:hAnsi="Candara" w:cs="Candara"/>
        </w:rPr>
      </w:pPr>
    </w:p>
    <w:p w:rsidR="00545706" w:rsidRDefault="00473485">
      <w:pPr>
        <w:spacing w:after="200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These deadlines exist to encourage students to register in a timely fashion, to allow them time to enroll in an alternate course if needed, and to allow the instructor to teach a different course that term, if possible.</w:t>
      </w:r>
    </w:p>
    <w:p w:rsidR="00545706" w:rsidRDefault="00473485">
      <w:pPr>
        <w:spacing w:after="200"/>
        <w:rPr>
          <w:rFonts w:ascii="Candara" w:eastAsia="Candara" w:hAnsi="Candara" w:cs="Candara"/>
          <w:b/>
        </w:rPr>
      </w:pPr>
      <w:r>
        <w:rPr>
          <w:rFonts w:ascii="Candara" w:eastAsia="Candara" w:hAnsi="Candara" w:cs="Candara"/>
          <w:b/>
        </w:rPr>
        <w:t>4. Procedures for dealing with an un</w:t>
      </w:r>
      <w:r>
        <w:rPr>
          <w:rFonts w:ascii="Candara" w:eastAsia="Candara" w:hAnsi="Candara" w:cs="Candara"/>
          <w:b/>
        </w:rPr>
        <w:t>der-enrolled course.</w:t>
      </w:r>
    </w:p>
    <w:p w:rsidR="00545706" w:rsidRDefault="0047348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>It is important for chairs to monitor course enrollments through the registration process</w:t>
      </w:r>
      <w:r>
        <w:rPr>
          <w:rFonts w:ascii="Candara" w:eastAsia="Candara" w:hAnsi="Candara" w:cs="Candara"/>
        </w:rPr>
        <w:t xml:space="preserve"> so that they can be proactive in addressing low-enrollment courses.  If a course has not met minimum enrollment by the deadlines listed above, ch</w:t>
      </w:r>
      <w:r>
        <w:rPr>
          <w:rFonts w:ascii="Candara" w:eastAsia="Candara" w:hAnsi="Candara" w:cs="Candara"/>
        </w:rPr>
        <w:t>airs will be asked to do one of the following:</w:t>
      </w:r>
    </w:p>
    <w:p w:rsidR="00545706" w:rsidRDefault="00545706">
      <w:pPr>
        <w:rPr>
          <w:rFonts w:ascii="Candara" w:eastAsia="Candara" w:hAnsi="Candara" w:cs="Candara"/>
        </w:rPr>
      </w:pPr>
    </w:p>
    <w:p w:rsidR="00545706" w:rsidRDefault="00473485">
      <w:pPr>
        <w:numPr>
          <w:ilvl w:val="0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u w:val="single"/>
        </w:rPr>
        <w:t>Cancel the course</w:t>
      </w:r>
      <w:r>
        <w:rPr>
          <w:rFonts w:ascii="Candara" w:eastAsia="Candara" w:hAnsi="Candara" w:cs="Candara"/>
        </w:rPr>
        <w:t>.  If a course cancelation will result in a full-time faculty member being underload, please consult with the provost about the best way to replace the load.  In determining a course replacem</w:t>
      </w:r>
      <w:r>
        <w:rPr>
          <w:rFonts w:ascii="Candara" w:eastAsia="Candara" w:hAnsi="Candara" w:cs="Candara"/>
        </w:rPr>
        <w:t>ent, the following will be considered: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Whether there is an existing need for FYI instructors.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lastRenderedPageBreak/>
        <w:t>Whether there is a need for more seats in Learning Perspective courses.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Whether there is a need for more FY advisors.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Whether a proposed course addition to the schedule is likely to fill given the point at which it would be added in the registration process.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Whether a displaced faculty member can step into a course currently scheduled with a part-time/adjunct faculty memb</w:t>
      </w:r>
      <w:r>
        <w:rPr>
          <w:rFonts w:ascii="Candara" w:eastAsia="Candara" w:hAnsi="Candara" w:cs="Candara"/>
        </w:rPr>
        <w:t>er.</w:t>
      </w:r>
    </w:p>
    <w:p w:rsidR="00545706" w:rsidRDefault="00473485">
      <w:pPr>
        <w:numPr>
          <w:ilvl w:val="0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u w:val="single"/>
        </w:rPr>
        <w:t>Submit a written request for an exception</w:t>
      </w:r>
      <w:r>
        <w:rPr>
          <w:rFonts w:ascii="Candara" w:eastAsia="Candara" w:hAnsi="Candara" w:cs="Candara"/>
        </w:rPr>
        <w:t xml:space="preserve"> to the minimum course enrollment policy.  The request should include the following information: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 clear explanation of why you believe the course is needed. If the course is required for the major/minor, be sur</w:t>
      </w:r>
      <w:r>
        <w:rPr>
          <w:rFonts w:ascii="Candara" w:eastAsia="Candara" w:hAnsi="Candara" w:cs="Candara"/>
        </w:rPr>
        <w:t>e to explain why students are unable to complete the requirement in a different way (e.g. through a course substitution or by completing the same requirement in another semester).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Whether you’re proposing a reduced load for the instructor (WLLC and Educati</w:t>
      </w:r>
      <w:r>
        <w:rPr>
          <w:rFonts w:ascii="Candara" w:eastAsia="Candara" w:hAnsi="Candara" w:cs="Candara"/>
        </w:rPr>
        <w:t>on are among the departments that currently follow this practice in order to offer low-enrolled courses and may be helpful resources in exploring this option).</w:t>
      </w:r>
    </w:p>
    <w:p w:rsidR="00545706" w:rsidRDefault="00473485">
      <w:pPr>
        <w:numPr>
          <w:ilvl w:val="1"/>
          <w:numId w:val="1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Your plan for reducing the likelihood of future low enrollments in the course (e.g. offering the</w:t>
      </w:r>
      <w:r>
        <w:rPr>
          <w:rFonts w:ascii="Candara" w:eastAsia="Candara" w:hAnsi="Candara" w:cs="Candara"/>
        </w:rPr>
        <w:t xml:space="preserve"> course on an every-other-year basis, considering changes to major/minor requirements, etc.)</w:t>
      </w:r>
    </w:p>
    <w:p w:rsidR="00545706" w:rsidRDefault="00473485">
      <w:pPr>
        <w:numPr>
          <w:ilvl w:val="0"/>
          <w:numId w:val="2"/>
        </w:num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u w:val="single"/>
        </w:rPr>
        <w:t>In the special case of under-enrolled Senior Inquiry courses</w:t>
      </w:r>
      <w:r>
        <w:rPr>
          <w:rFonts w:ascii="Candara" w:eastAsia="Candara" w:hAnsi="Candara" w:cs="Candara"/>
        </w:rPr>
        <w:t>, additional options may be available (e.g. compensate faculty with a per-student stipend rather than c</w:t>
      </w:r>
      <w:r>
        <w:rPr>
          <w:rFonts w:ascii="Candara" w:eastAsia="Candara" w:hAnsi="Candara" w:cs="Candara"/>
        </w:rPr>
        <w:t>ounting in faculty load, “bank” student enrollment year-to-year and assign faculty load when the minimum enrollment has been reached, or other creative load solutions).</w:t>
      </w:r>
    </w:p>
    <w:p w:rsidR="00545706" w:rsidRDefault="00545706">
      <w:pPr>
        <w:rPr>
          <w:rFonts w:ascii="Candara" w:eastAsia="Candara" w:hAnsi="Candara" w:cs="Candara"/>
        </w:rPr>
      </w:pPr>
    </w:p>
    <w:p w:rsidR="00545706" w:rsidRDefault="0047348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All requests will be reviewed and responded to by the provost, division dean, or anoth</w:t>
      </w:r>
      <w:r>
        <w:rPr>
          <w:rFonts w:ascii="Candara" w:eastAsia="Candara" w:hAnsi="Candara" w:cs="Candara"/>
        </w:rPr>
        <w:t>er member of the Academic Affairs team within two working days of its receipt.</w:t>
      </w:r>
    </w:p>
    <w:p w:rsidR="00545706" w:rsidRDefault="00545706"/>
    <w:sectPr w:rsidR="0054570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85" w:rsidRDefault="00473485">
      <w:pPr>
        <w:spacing w:line="240" w:lineRule="auto"/>
      </w:pPr>
      <w:r>
        <w:separator/>
      </w:r>
    </w:p>
  </w:endnote>
  <w:endnote w:type="continuationSeparator" w:id="0">
    <w:p w:rsidR="00473485" w:rsidRDefault="00473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85" w:rsidRDefault="00473485">
      <w:pPr>
        <w:spacing w:line="240" w:lineRule="auto"/>
      </w:pPr>
      <w:r>
        <w:separator/>
      </w:r>
    </w:p>
  </w:footnote>
  <w:footnote w:type="continuationSeparator" w:id="0">
    <w:p w:rsidR="00473485" w:rsidRDefault="00473485">
      <w:pPr>
        <w:spacing w:line="240" w:lineRule="auto"/>
      </w:pPr>
      <w:r>
        <w:continuationSeparator/>
      </w:r>
    </w:p>
  </w:footnote>
  <w:footnote w:id="1">
    <w:p w:rsidR="00545706" w:rsidRDefault="00473485">
      <w:pPr>
        <w:spacing w:line="240" w:lineRule="auto"/>
        <w:rPr>
          <w:rFonts w:ascii="Candara" w:eastAsia="Candara" w:hAnsi="Candara" w:cs="Candara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ndara" w:eastAsia="Candara" w:hAnsi="Candara" w:cs="Candara"/>
          <w:sz w:val="18"/>
          <w:szCs w:val="18"/>
        </w:rPr>
        <w:t xml:space="preserve"> </w:t>
      </w:r>
      <w:r>
        <w:rPr>
          <w:rFonts w:ascii="Candara" w:eastAsia="Candara" w:hAnsi="Candara" w:cs="Candara"/>
          <w:sz w:val="20"/>
          <w:szCs w:val="20"/>
        </w:rPr>
        <w:t xml:space="preserve">It’s important to acknowledge that some courses, particularly in the natural sciences, regularly exceed the caps listed below.  Additionally, there are times that chairs may </w:t>
      </w:r>
      <w:r>
        <w:rPr>
          <w:rFonts w:ascii="Candara" w:eastAsia="Candara" w:hAnsi="Candara" w:cs="Candara"/>
          <w:sz w:val="20"/>
          <w:szCs w:val="20"/>
        </w:rPr>
        <w:t>be asked to increase course caps to meet unexpected student demand.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3400"/>
    <w:multiLevelType w:val="multilevel"/>
    <w:tmpl w:val="542EE4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F832BD"/>
    <w:multiLevelType w:val="multilevel"/>
    <w:tmpl w:val="87368F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06"/>
    <w:rsid w:val="00473485"/>
    <w:rsid w:val="00545706"/>
    <w:rsid w:val="005D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70BB11-A425-4664-833C-03B60C70E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Oliver, Jeannine</dc:creator>
  <cp:lastModifiedBy>Oliver, Jeannine</cp:lastModifiedBy>
  <cp:revision>2</cp:revision>
  <dcterms:created xsi:type="dcterms:W3CDTF">2024-01-10T16:04:00Z</dcterms:created>
  <dcterms:modified xsi:type="dcterms:W3CDTF">2024-01-10T16:04:00Z</dcterms:modified>
</cp:coreProperties>
</file>